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BABDE" w14:textId="77777777" w:rsidR="00E32973" w:rsidRPr="00B7205E" w:rsidRDefault="00000000">
      <w:pPr>
        <w:spacing w:after="0" w:line="276" w:lineRule="auto"/>
        <w:jc w:val="right"/>
        <w:rPr>
          <w:rFonts w:cs="Times New Roman"/>
          <w:bCs/>
          <w:sz w:val="18"/>
          <w:szCs w:val="18"/>
        </w:rPr>
      </w:pPr>
      <w:r w:rsidRPr="00B7205E">
        <w:rPr>
          <w:rFonts w:cs="Times New Roman"/>
          <w:bCs/>
          <w:sz w:val="18"/>
          <w:szCs w:val="18"/>
        </w:rPr>
        <w:t>Załącznik nr 1 do zapytania ofertowego</w:t>
      </w:r>
    </w:p>
    <w:p w14:paraId="755D3A6A" w14:textId="77777777" w:rsidR="00E32973" w:rsidRPr="00FB39C1" w:rsidRDefault="00000000">
      <w:pPr>
        <w:spacing w:before="240" w:after="240" w:line="276" w:lineRule="auto"/>
        <w:jc w:val="center"/>
        <w:rPr>
          <w:rFonts w:cs="Times New Roman"/>
        </w:rPr>
      </w:pPr>
      <w:r w:rsidRPr="00FB39C1">
        <w:rPr>
          <w:rFonts w:cs="Times New Roman"/>
          <w:b/>
          <w:sz w:val="28"/>
        </w:rPr>
        <w:t>OPIS PRZEDMIOTU ZAMÓWIENIA</w:t>
      </w:r>
    </w:p>
    <w:p w14:paraId="1496DB63" w14:textId="77777777" w:rsidR="00E32973" w:rsidRPr="00FB39C1" w:rsidRDefault="00000000">
      <w:pPr>
        <w:spacing w:after="0" w:line="276" w:lineRule="auto"/>
        <w:jc w:val="center"/>
        <w:rPr>
          <w:rFonts w:cs="Times New Roman"/>
        </w:rPr>
      </w:pPr>
      <w:r w:rsidRPr="00FB39C1">
        <w:rPr>
          <w:rFonts w:cs="Times New Roman"/>
        </w:rPr>
        <w:t>dla usługi pn. „Realizacja robót budowlano-instalacyjnych w postaci dostawy i montażu 7 kompletów drzwi wewnętrznych do gabinetów lekarskich wraz z dostawą, montażem, uruchomieniem i konfiguracją systemu kontroli dostępu” realizowanej w ramach przedsięwzięcia pn. „Priorytet FENX.06 Zdrowie ”Wsparcie podstawowej opieki zdrowotnej (POZ)” o numerze FENX.06.01-IP.03-0001/23”, na mocy umowy nr 06OW/9036/I/2024</w:t>
      </w:r>
    </w:p>
    <w:p w14:paraId="7A6B2793" w14:textId="77777777" w:rsidR="00E32973" w:rsidRPr="00FB39C1" w:rsidRDefault="00000000">
      <w:pPr>
        <w:spacing w:before="240" w:after="60" w:line="276" w:lineRule="auto"/>
        <w:rPr>
          <w:rFonts w:cs="Times New Roman"/>
        </w:rPr>
      </w:pPr>
      <w:r w:rsidRPr="00FB39C1">
        <w:rPr>
          <w:rFonts w:cs="Times New Roman"/>
          <w:b/>
        </w:rPr>
        <w:t>1. Przedmiot zamówienia</w:t>
      </w:r>
    </w:p>
    <w:p w14:paraId="7BDA1E98" w14:textId="77777777" w:rsidR="00E32973" w:rsidRPr="00FB39C1" w:rsidRDefault="00000000">
      <w:pPr>
        <w:spacing w:after="60" w:line="276" w:lineRule="auto"/>
        <w:rPr>
          <w:rFonts w:cs="Times New Roman"/>
        </w:rPr>
      </w:pPr>
      <w:r w:rsidRPr="00FB39C1">
        <w:rPr>
          <w:rFonts w:cs="Times New Roman"/>
        </w:rPr>
        <w:t>wg Wspólnego Słownika Zamówień CPV:</w:t>
      </w:r>
    </w:p>
    <w:p w14:paraId="79D4B882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45000000-7 Roboty budowlane</w:t>
      </w:r>
    </w:p>
    <w:p w14:paraId="70B746D7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45421100-5 Instalowanie drzwi i okien i podobnych elementów</w:t>
      </w:r>
    </w:p>
    <w:p w14:paraId="42258A6F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45421110-8 Instalowanie ram drzwiowych i okiennych</w:t>
      </w:r>
    </w:p>
    <w:p w14:paraId="353CA68E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45421131-1 Instalowanie drzwi</w:t>
      </w:r>
    </w:p>
    <w:p w14:paraId="72CE7471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45310000-3 Roboty instalacyjne elektryczne</w:t>
      </w:r>
    </w:p>
    <w:p w14:paraId="7556119A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45311000-0 Roboty w zakresie okablowania oraz instalacji elektrycznych</w:t>
      </w:r>
    </w:p>
    <w:p w14:paraId="01EE3936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42961100-1 System kontroli dostępu</w:t>
      </w:r>
    </w:p>
    <w:p w14:paraId="2B156E43" w14:textId="77777777" w:rsidR="00E32973" w:rsidRPr="00FB39C1" w:rsidRDefault="00000000">
      <w:pPr>
        <w:spacing w:after="0" w:line="276" w:lineRule="auto"/>
        <w:rPr>
          <w:rFonts w:cs="Times New Roman"/>
        </w:rPr>
      </w:pPr>
      <w:r w:rsidRPr="00FB39C1">
        <w:rPr>
          <w:rFonts w:cs="Times New Roman"/>
        </w:rPr>
        <w:t>Przedmiotem zamówienia jest kompleksowa realizacja robót budowlano-instalacyjnych na terenie SAMODZIELNY GMINNY OŚRODEK ZDROWIA W BIAŁYM DUNAJCU w Białym Dunajcu w postaci dostawy i montażu 7 kompletów drzwi wewnętrznych do gabinetów lekarskich wraz z systemem kontroli dostępu, według poniższych wytycznych i specyfikacji.</w:t>
      </w:r>
    </w:p>
    <w:p w14:paraId="7033C92B" w14:textId="77777777" w:rsidR="00E32973" w:rsidRPr="00FB39C1" w:rsidRDefault="00000000">
      <w:pPr>
        <w:spacing w:after="0" w:line="276" w:lineRule="auto"/>
        <w:rPr>
          <w:rFonts w:cs="Times New Roman"/>
        </w:rPr>
      </w:pPr>
      <w:r w:rsidRPr="00FB39C1">
        <w:rPr>
          <w:rFonts w:cs="Times New Roman"/>
        </w:rPr>
        <w:t>Prace obejmują w szczególności:</w:t>
      </w:r>
    </w:p>
    <w:p w14:paraId="0DB97CBF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dostawę materiałów i urządzeń wraz z transportem;</w:t>
      </w:r>
    </w:p>
    <w:p w14:paraId="1FF36442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demontaż obecnych drzwi i ościeżnic wraz z utylizacją;</w:t>
      </w:r>
    </w:p>
    <w:p w14:paraId="575A0CA5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weryfikację wymiarów i warunków montażowych podczas obowiązkowej wizji lokalnej;</w:t>
      </w:r>
    </w:p>
    <w:p w14:paraId="34A3F986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powiększenie lub dostosowanie otworu drzwiowego, jeżeli będzie to konieczne i dopuszczalne technicznie;</w:t>
      </w:r>
    </w:p>
    <w:p w14:paraId="11A84C85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montaż nowych drzwi, okuć, ościeżnic, klamek i niezbędnych elementów systemu kontroli dostępu;</w:t>
      </w:r>
    </w:p>
    <w:p w14:paraId="008C3EB2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wykonanie niezbędnego okablowania niskoprądowego i podłączeń elektrycznych systemu kontroli dostępu, w tym montaż zasilaczy buforowych, jeżeli są przewidziane w rozwiązaniu;</w:t>
      </w:r>
    </w:p>
    <w:p w14:paraId="1F4DE4DE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uruchomienie, konfigurację, testy funkcjonalne i instruktaż użytkowników wskazanych przez Zamawiającego;</w:t>
      </w:r>
    </w:p>
    <w:p w14:paraId="0A51E6F4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obróbkę tynkarską dostosowaną do istniejącego tynku oraz prace porządkowe i zabezpieczające.</w:t>
      </w:r>
    </w:p>
    <w:p w14:paraId="0315D681" w14:textId="77777777" w:rsidR="00E32973" w:rsidRPr="00FB39C1" w:rsidRDefault="00000000">
      <w:pPr>
        <w:spacing w:before="240" w:after="60" w:line="276" w:lineRule="auto"/>
        <w:rPr>
          <w:rFonts w:cs="Times New Roman"/>
        </w:rPr>
      </w:pPr>
      <w:r w:rsidRPr="00FB39C1">
        <w:rPr>
          <w:rFonts w:cs="Times New Roman"/>
          <w:b/>
        </w:rPr>
        <w:t>2. Specyfikacja drzwi</w:t>
      </w:r>
    </w:p>
    <w:p w14:paraId="77D2C300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lastRenderedPageBreak/>
        <w:t>• 7 sztuk drzwi z okuciami, o szerokości przejścia w świetle ościeżnicy minimum 90 cm i wysokości minimum 200 cm po zamontowaniu; konieczna weryfikacja przez Wykonawcę podczas wizji lokalnej;</w:t>
      </w:r>
    </w:p>
    <w:p w14:paraId="6B8FDF08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drzwi wewnętrzne pełne o właściwościach dźwiękoizolacyjnych nie mniejszych niż Rw = 35 dB;</w:t>
      </w:r>
    </w:p>
    <w:p w14:paraId="096C312B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klamka z szyldem do zamontowania na wysokości od 80 do 110 cm;</w:t>
      </w:r>
    </w:p>
    <w:p w14:paraId="16A6EA75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kolor z palety brązów lub biały, do uzgodnienia z Zamawiającym, zapewniający kontrast kolorystyczny drzwi lub ościeżnicy względem ściany, LRV &gt; 30;</w:t>
      </w:r>
    </w:p>
    <w:p w14:paraId="1C7D47F3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ościeżnica stalowa regulowana w kolorze adekwatnym do koloru drzwi;</w:t>
      </w:r>
    </w:p>
    <w:p w14:paraId="0D3DE6A9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minimum 3 zawiasy;</w:t>
      </w:r>
    </w:p>
    <w:p w14:paraId="1AC68969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laminat HPL lub CPL o grubości min. 0,5 mm;</w:t>
      </w:r>
    </w:p>
    <w:p w14:paraId="4D923478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min. 3 klasa wytrzymałości mechanicznej wg normy PN-EN 1192:2001;</w:t>
      </w:r>
    </w:p>
    <w:p w14:paraId="7CF3C9B0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min. 5 klasa trwałości mechanicznej wg normy PN-EN 12400:2004;</w:t>
      </w:r>
    </w:p>
    <w:p w14:paraId="2F8D6CEF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drzwi i ościeżnice kompatybilne z montowanym systemem kontroli dostępu, w szczególności z elementem ryglującym, okablowaniem, przepustami kablowymi i sposobem awaryjnego otwarcia;</w:t>
      </w:r>
    </w:p>
    <w:p w14:paraId="5F98DA60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brak wewnętrznych progów lub próg nie wyższy niż 2 cm;</w:t>
      </w:r>
    </w:p>
    <w:p w14:paraId="05FE6EA5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siła potrzebna do otwarcia drzwi po montażu drzwi i systemu kontroli dostępu nie może przekraczać 25 N;</w:t>
      </w:r>
    </w:p>
    <w:p w14:paraId="0CE75449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rozwiązanie nie może powodować zmniejszenia wymaganej szerokości przejścia, kolizji z uchwytami, wózkiem, balkonikiem ani inną pomocą mobilności;</w:t>
      </w:r>
    </w:p>
    <w:p w14:paraId="21992BAB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minimum 24 miesiące gwarancji na drzwi, ościeżnice, okucia, prace montażowe i elementy systemu kontroli dostępu;</w:t>
      </w:r>
    </w:p>
    <w:p w14:paraId="0C2D0CFA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wykonanie zgodnie z obowiązującymi przepisami prawa, w szczególności prawa budowlanego, BHP, PPOŻ, przepisami dotyczącymi dostępności architektonicznej oraz zasadami wiedzy technicznej.</w:t>
      </w:r>
    </w:p>
    <w:p w14:paraId="37577BBB" w14:textId="77777777" w:rsidR="00E32973" w:rsidRPr="00FB39C1" w:rsidRDefault="00000000">
      <w:pPr>
        <w:spacing w:before="240" w:after="60" w:line="276" w:lineRule="auto"/>
        <w:rPr>
          <w:rFonts w:cs="Times New Roman"/>
        </w:rPr>
      </w:pPr>
      <w:r w:rsidRPr="00FB39C1">
        <w:rPr>
          <w:rFonts w:cs="Times New Roman"/>
          <w:b/>
        </w:rPr>
        <w:t>3. Minimalne wymagania dla systemu kontroli dostępu</w:t>
      </w:r>
    </w:p>
    <w:p w14:paraId="32329584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system kontroli dostępu dla 7 przejść/drzwi objętych zamówieniem;</w:t>
      </w:r>
    </w:p>
    <w:p w14:paraId="599EC7F6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kontrola dostępu od strony wejścia do gabinetu z zachowaniem możliwości swobodnego wyjścia z pomieszczenia od strony ewakuacji;</w:t>
      </w:r>
    </w:p>
    <w:p w14:paraId="3B6A0E7F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czytniki kart/breloków zbliżeniowych lub rozwiązanie równoważne, niewymagające od użytkownika posiadania telefonu ani aplikacji mobilnej jako jedynej metody dostępu;</w:t>
      </w:r>
    </w:p>
    <w:p w14:paraId="6EBAE7B7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dostawa co najmniej 20 kart/breloków użytkownika oraz co najmniej 2 kart/breloków administracyjnych lub równoważnego mechanizmu administracyjnego;</w:t>
      </w:r>
    </w:p>
    <w:p w14:paraId="13583F8F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kontroler/centrala umożliwiająca nadawanie, odbieranie i zmianę uprawnień użytkowników;</w:t>
      </w:r>
    </w:p>
    <w:p w14:paraId="3B8B0FF7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rejestr zdarzeń obejmujący co najmniej 5 000 zdarzeń z możliwością eksportu do pliku lub wydruku zestawienia;</w:t>
      </w:r>
    </w:p>
    <w:p w14:paraId="60F0475A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lastRenderedPageBreak/>
        <w:t>• praca lokalna systemu bez obowiązku korzystania z płatnej usługi chmurowej, abonamentu lub stałego dostępu do Internetu;</w:t>
      </w:r>
    </w:p>
    <w:p w14:paraId="7CEE329D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brak uzależnienia podstawowych funkcji otwarcia drzwi i ewakuacji od działania połączenia internetowego;</w:t>
      </w:r>
    </w:p>
    <w:p w14:paraId="5918B8F4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zmiana domyślnych haseł, przekazanie danych administratora Zamawiającemu oraz brak pozostawienia nieuzgodnionych kont serwisowych;</w:t>
      </w:r>
    </w:p>
    <w:p w14:paraId="247C55AA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sygnalizacja poprawnego/niepoprawnego odczytu karty lub breloka w sposób wizualny, a jeżeli urządzenie to umożliwia – również akustyczny;</w:t>
      </w:r>
    </w:p>
    <w:p w14:paraId="50EF193F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elementy systemu montowane na wysokościach i w miejscach dostępnych dla osób ze szczególnymi potrzebami; zalecana wysokość czytników/przycisków od 80 do 110 cm od poziomu posadzki, chyba że warunki techniczne wymagają innego rozwiązania uzgodnionego z Zamawiającym;</w:t>
      </w:r>
    </w:p>
    <w:p w14:paraId="7FA87274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wszystkie elementy montowane w sposób estetyczny, trwały, bez ostrych krawędzi i bez tworzenia przeszkód komunikacyjnych.</w:t>
      </w:r>
    </w:p>
    <w:p w14:paraId="7C3BD3E8" w14:textId="77777777" w:rsidR="00E32973" w:rsidRPr="00FB39C1" w:rsidRDefault="00000000">
      <w:pPr>
        <w:spacing w:before="240" w:after="60" w:line="276" w:lineRule="auto"/>
        <w:rPr>
          <w:rFonts w:cs="Times New Roman"/>
        </w:rPr>
      </w:pPr>
      <w:r w:rsidRPr="00FB39C1">
        <w:rPr>
          <w:rFonts w:cs="Times New Roman"/>
          <w:b/>
        </w:rPr>
        <w:t>4. Wymagania dotyczące bezpieczeństwa pożarowego, ewakuacji i zaniku zasilania</w:t>
      </w:r>
    </w:p>
    <w:p w14:paraId="1E3D7095" w14:textId="77777777" w:rsidR="00E32973" w:rsidRPr="00FB39C1" w:rsidRDefault="00000000">
      <w:pPr>
        <w:spacing w:after="0" w:line="276" w:lineRule="auto"/>
        <w:rPr>
          <w:rFonts w:cs="Times New Roman"/>
        </w:rPr>
      </w:pPr>
      <w:r w:rsidRPr="00FB39C1">
        <w:rPr>
          <w:rFonts w:cs="Times New Roman"/>
        </w:rPr>
        <w:t>Wymagania poniższe mają charakter obligatoryjny. Nie są elementem fakultatywnym ani punktowanym - ich niespełnienie oznacza niezgodność oferty z OPZ.</w:t>
      </w:r>
    </w:p>
    <w:p w14:paraId="3614BD00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system kontroli dostępu nie może uniemożliwiać ani opóźniać ewakuacji osób z gabinetów oraz z budynku;</w:t>
      </w:r>
    </w:p>
    <w:p w14:paraId="54A37DAB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od strony ewakuacji wyjście musi być możliwe bez użycia karty, kodu, aplikacji, klucza lub innego narzędzia; dopuszczalne jest wyłącznie rozwiązanie zgodne z przepisami PPOŻ i zasadami wiedzy technicznej;</w:t>
      </w:r>
    </w:p>
    <w:p w14:paraId="1F18ECB4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w przypadku zaniku zasilania, awarii centrali/kontrolera, awarii czytnika albo innego elementu systemu, nie może dojść do zamknięcia osób w pomieszczeniu;</w:t>
      </w:r>
    </w:p>
    <w:p w14:paraId="1A3D783B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w przypadku stanu alarmowego, ewakuacji albo użycia elementu awaryjnego otwarcia drzwi objęte kontrolą dostępu muszą umożliwiać niezwłoczne opuszczenie pomieszczenia;</w:t>
      </w:r>
    </w:p>
    <w:p w14:paraId="433A23CF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jeżeli w budynku funkcjonuje system sygnalizacji pożaru lub inny system alarmowy, Wykonawca podczas wizji lokalnej zweryfikuje możliwość i zasadność integracji; integracja może zostać wykonana wyłącznie po uzgodnieniu z Zamawiającym i bez naruszenia istniejących systemów bezpieczeństwa;</w:t>
      </w:r>
    </w:p>
    <w:p w14:paraId="287C94C4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jeżeli integracja z systemem sygnalizacji pożaru nie jest możliwa lub nie jest wymagana, Wykonawca zapewni lokalne rozwiązanie awaryjnego otwarcia zgodne z przepisami i wiedzą techniczną;</w:t>
      </w:r>
    </w:p>
    <w:p w14:paraId="4E63F181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zasilanie buforowe, jeżeli zostanie zastosowane, nie może blokować funkcji ewakuacyjnej; odcięcie zasilania lub uruchomienie awaryjnego otwarcia musi mieć pierwszeństwo przed funkcjami kontroli dostępu;</w:t>
      </w:r>
    </w:p>
    <w:p w14:paraId="6B34B495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lastRenderedPageBreak/>
        <w:t>• zastosowane elementy ryglujące, zwory, elektrozaczepy, zamki, okucia i osprzęt muszą być zgodne z przeznaczeniem drzwi oraz nie mogą pogorszyć wymaganych parametrów użytkowych, dostępnościowych i przeciwpożarowych;</w:t>
      </w:r>
    </w:p>
    <w:p w14:paraId="6000A659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jeżeli którekolwiek drzwi są drzwiami przeciwpożarowymi, dymoszczelnymi lub elementem wydzielenia pożarowego, montaż urządzeń może nastąpić wyłącznie z zastosowaniem rozwiązań dopuszczonych do takich drzwi i bez utraty właściwości przeciwpożarowych.</w:t>
      </w:r>
    </w:p>
    <w:p w14:paraId="13FA85AB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Wykonawca zobowiązany jest przerwać prace i poinformować Zamawiającego, jeżeli stwierdzi, że zaproponowane lub zastane warunki wykonania mogłyby pogorszyć bezpieczeństwo pożarowe, ewakuacyjne lub dostępność.</w:t>
      </w:r>
    </w:p>
    <w:p w14:paraId="0CE6A2BA" w14:textId="77777777" w:rsidR="00E32973" w:rsidRPr="00FB39C1" w:rsidRDefault="00000000">
      <w:pPr>
        <w:spacing w:before="240" w:after="60" w:line="276" w:lineRule="auto"/>
        <w:rPr>
          <w:rFonts w:cs="Times New Roman"/>
        </w:rPr>
      </w:pPr>
      <w:r w:rsidRPr="00FB39C1">
        <w:rPr>
          <w:rFonts w:cs="Times New Roman"/>
          <w:b/>
        </w:rPr>
        <w:t>5. Dostępność architektoniczna i zgodność ze Standardem Dostępności POZ</w:t>
      </w:r>
    </w:p>
    <w:p w14:paraId="06FD767E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szerokość przejścia w świetle ościeżnicy po wykonaniu zamówienia: minimum 90 cm;</w:t>
      </w:r>
    </w:p>
    <w:p w14:paraId="44B766BC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wysokość klamki: od 80 do 110 cm;</w:t>
      </w:r>
    </w:p>
    <w:p w14:paraId="4AED2585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brak progów lub próg nie wyższy niż 2 cm;</w:t>
      </w:r>
    </w:p>
    <w:p w14:paraId="06C53663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siła otwarcia drzwi po montażu: maksymalnie 25 N;</w:t>
      </w:r>
    </w:p>
    <w:p w14:paraId="56C429FD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kontrast drzwi lub ościeżnicy względem ściany: LRV &gt; 30;</w:t>
      </w:r>
    </w:p>
    <w:p w14:paraId="3E8BA753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izolacyjność akustyczna drzwi do gabinetów: minimum Rw = 35 dB;</w:t>
      </w:r>
    </w:p>
    <w:p w14:paraId="0E9F01E2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elementy systemu kontroli dostępu, w tym czytniki i przyciski, muszą być zamontowane w sposób zapewniający możliwość korzystania przez osoby ze szczególnymi potrzebami;</w:t>
      </w:r>
    </w:p>
    <w:p w14:paraId="0517EFB5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system nie może wymagać od pacjentów wykonywania dodatkowych czynności ani korzystania z urządzeń elektronicznych w celu opuszczenia pomieszczenia.</w:t>
      </w:r>
    </w:p>
    <w:p w14:paraId="02539380" w14:textId="77777777" w:rsidR="00E32973" w:rsidRPr="00FB39C1" w:rsidRDefault="00000000">
      <w:pPr>
        <w:spacing w:before="240" w:after="60" w:line="276" w:lineRule="auto"/>
        <w:rPr>
          <w:rFonts w:cs="Times New Roman"/>
        </w:rPr>
      </w:pPr>
      <w:r w:rsidRPr="00FB39C1">
        <w:rPr>
          <w:rFonts w:cs="Times New Roman"/>
          <w:b/>
        </w:rPr>
        <w:t>6. Dokumenty wymagane od Wykonawcy</w:t>
      </w:r>
    </w:p>
    <w:p w14:paraId="5B4E5770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karty techniczne drzwi, ościeżnic, okuć i elementów systemu kontroli dostępu;</w:t>
      </w:r>
    </w:p>
    <w:p w14:paraId="677D3788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dokumenty potwierdzające izolacyjność akustyczną, klasę trwałości i klasę wytrzymałości mechaniczną drzwi;</w:t>
      </w:r>
    </w:p>
    <w:p w14:paraId="49C85710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deklaracje właściwości użytkowych, certyfikaty, deklaracje zgodności lub dokumenty równoważne, jeżeli są wymagane dla danych produktów;</w:t>
      </w:r>
    </w:p>
    <w:p w14:paraId="25C0E7EA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opis sposobu działania systemu kontroli dostępu, w tym opis zachowania podczas zaniku zasilania, awarii systemu i ewakuacji;</w:t>
      </w:r>
    </w:p>
    <w:p w14:paraId="748DD372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schemat powykonawczy lub opis rozmieszczenia elementów systemu i okablowania;</w:t>
      </w:r>
    </w:p>
    <w:p w14:paraId="7FF5BBA4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instrukcję obsługi i administracji systemem w języku polskim;</w:t>
      </w:r>
    </w:p>
    <w:p w14:paraId="112C6CE8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warunki gwarancji i serwisu;</w:t>
      </w:r>
    </w:p>
    <w:p w14:paraId="705AAA2A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oświadczenie Wykonawcy, że wykonany system nie pogarsza warunków dostępności, ewakuacji i ochrony przeciwpożarowej.</w:t>
      </w:r>
    </w:p>
    <w:p w14:paraId="613EFBB3" w14:textId="77777777" w:rsidR="00E32973" w:rsidRPr="00FB39C1" w:rsidRDefault="00000000">
      <w:pPr>
        <w:spacing w:before="240" w:after="60" w:line="276" w:lineRule="auto"/>
        <w:rPr>
          <w:rFonts w:cs="Times New Roman"/>
        </w:rPr>
      </w:pPr>
      <w:r w:rsidRPr="00FB39C1">
        <w:rPr>
          <w:rFonts w:cs="Times New Roman"/>
          <w:b/>
        </w:rPr>
        <w:t>7. Odbiór przedmiotu zamówienia</w:t>
      </w:r>
    </w:p>
    <w:p w14:paraId="484AF857" w14:textId="77777777" w:rsidR="00E32973" w:rsidRPr="00FB39C1" w:rsidRDefault="00000000">
      <w:pPr>
        <w:spacing w:after="0" w:line="276" w:lineRule="auto"/>
        <w:rPr>
          <w:rFonts w:cs="Times New Roman"/>
        </w:rPr>
      </w:pPr>
      <w:r w:rsidRPr="00FB39C1">
        <w:rPr>
          <w:rFonts w:cs="Times New Roman"/>
        </w:rPr>
        <w:t>Odbiór końcowy nastąpi po wykonaniu pełnego zakresu zamówienia oraz po pozytywnym przeprowadzeniu testów. Protokół odbioru powinien obejmować co najmniej:</w:t>
      </w:r>
    </w:p>
    <w:p w14:paraId="7F25F42C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lastRenderedPageBreak/>
        <w:t>• sprawdzenie liczby i kompletności drzwi, ościeżnic, okuć i elementów systemu;</w:t>
      </w:r>
    </w:p>
    <w:p w14:paraId="6E1542A1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sprawdzenie działania drzwi, regulacji, braku kolizji i braku pogorszenia dostępności;</w:t>
      </w:r>
    </w:p>
    <w:p w14:paraId="40AA0410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sprawdzenie działania czytników, kart/breloków, uprawnień użytkowników i rejestru zdarzeń;</w:t>
      </w:r>
    </w:p>
    <w:p w14:paraId="556AB11A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test otwarcia od strony ewakuacji bez karty, kodu, aplikacji, klucza lub innego narzędzia;</w:t>
      </w:r>
    </w:p>
    <w:p w14:paraId="791923BC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test zachowania systemu przy zaniku zasilania;</w:t>
      </w:r>
    </w:p>
    <w:p w14:paraId="547CD5B6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test elementu awaryjnego otwarcia, jeżeli został zastosowany;</w:t>
      </w:r>
    </w:p>
    <w:p w14:paraId="541F8F0B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przekazanie haseł administratora, instrukcji, dokumentacji powykonawczej i kart/breloków;</w:t>
      </w:r>
    </w:p>
    <w:p w14:paraId="59BF705C" w14:textId="77777777" w:rsidR="00E32973" w:rsidRPr="00FB39C1" w:rsidRDefault="00000000">
      <w:pPr>
        <w:spacing w:after="0" w:line="276" w:lineRule="auto"/>
        <w:ind w:left="369" w:hanging="198"/>
        <w:rPr>
          <w:rFonts w:cs="Times New Roman"/>
        </w:rPr>
      </w:pPr>
      <w:r w:rsidRPr="00FB39C1">
        <w:rPr>
          <w:rFonts w:cs="Times New Roman"/>
        </w:rPr>
        <w:t>• przeprowadzenie instruktażu dla minimum 2 osób wskazanych przez Zamawiającego.</w:t>
      </w:r>
    </w:p>
    <w:sectPr w:rsidR="00E32973" w:rsidRPr="00FB39C1" w:rsidSect="005E357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A8292" w14:textId="77777777" w:rsidR="009805ED" w:rsidRDefault="009805ED">
      <w:pPr>
        <w:spacing w:after="0" w:line="240" w:lineRule="auto"/>
      </w:pPr>
      <w:r>
        <w:separator/>
      </w:r>
    </w:p>
  </w:endnote>
  <w:endnote w:type="continuationSeparator" w:id="0">
    <w:p w14:paraId="29888EE4" w14:textId="77777777" w:rsidR="009805ED" w:rsidRDefault="00980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40C53C-0425-41B4-BA0B-FE1C873EC61F}"/>
    <w:embedBold r:id="rId2" w:fontKey="{C5530D58-7EC1-453D-BDF1-3390BDA7F46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C1B62A19-493D-4B7E-9293-794123BFCD5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6A40DD3-5C33-482D-829E-A11683E9A3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6DAC" w14:textId="77777777" w:rsidR="009475D7" w:rsidRDefault="009475D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9027" w:type="dxa"/>
      <w:tblInd w:w="0" w:type="dxa"/>
      <w:tblLayout w:type="fixed"/>
      <w:tblLook w:val="0400" w:firstRow="0" w:lastRow="0" w:firstColumn="0" w:lastColumn="0" w:noHBand="0" w:noVBand="1"/>
    </w:tblPr>
    <w:tblGrid>
      <w:gridCol w:w="3009"/>
      <w:gridCol w:w="3009"/>
      <w:gridCol w:w="3009"/>
    </w:tblGrid>
    <w:tr w:rsidR="009475D7" w14:paraId="2AA1F738" w14:textId="77777777">
      <w:tc>
        <w:tcPr>
          <w:tcW w:w="3009" w:type="dxa"/>
        </w:tcPr>
        <w:p w14:paraId="490D648F" w14:textId="77777777" w:rsidR="009475D7" w:rsidRDefault="009475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9" w:type="dxa"/>
        </w:tcPr>
        <w:p w14:paraId="21D78C35" w14:textId="77777777" w:rsidR="009475D7" w:rsidRDefault="009475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9" w:type="dxa"/>
        </w:tcPr>
        <w:p w14:paraId="652A80F4" w14:textId="77777777" w:rsidR="009475D7" w:rsidRDefault="009475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2295EC5F" w14:textId="77777777" w:rsidR="009475D7" w:rsidRDefault="009475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C8AB6" w14:textId="77777777" w:rsidR="00E32973" w:rsidRDefault="00E329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89DD2" w14:textId="77777777" w:rsidR="009805ED" w:rsidRDefault="009805ED">
      <w:pPr>
        <w:spacing w:after="0" w:line="240" w:lineRule="auto"/>
      </w:pPr>
      <w:r>
        <w:separator/>
      </w:r>
    </w:p>
  </w:footnote>
  <w:footnote w:type="continuationSeparator" w:id="0">
    <w:p w14:paraId="506248B8" w14:textId="77777777" w:rsidR="009805ED" w:rsidRDefault="00980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C0D69" w14:textId="77777777" w:rsidR="009475D7" w:rsidRDefault="009475D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cs="Times New Roman"/>
        <w:b/>
        <w:bCs/>
        <w:color w:val="000000"/>
        <w:sz w:val="13"/>
        <w:szCs w:val="13"/>
      </w:rPr>
    </w:pPr>
  </w:p>
  <w:tbl>
    <w:tblPr>
      <w:tblStyle w:val="a1"/>
      <w:tblW w:w="9027" w:type="dxa"/>
      <w:tblInd w:w="0" w:type="dxa"/>
      <w:tblLayout w:type="fixed"/>
      <w:tblLook w:val="0400" w:firstRow="0" w:lastRow="0" w:firstColumn="0" w:lastColumn="0" w:noHBand="0" w:noVBand="1"/>
    </w:tblPr>
    <w:tblGrid>
      <w:gridCol w:w="3009"/>
      <w:gridCol w:w="3009"/>
      <w:gridCol w:w="3009"/>
    </w:tblGrid>
    <w:tr w:rsidR="009475D7" w14:paraId="396024F6" w14:textId="77777777">
      <w:tc>
        <w:tcPr>
          <w:tcW w:w="3009" w:type="dxa"/>
        </w:tcPr>
        <w:p w14:paraId="5ABB32CF" w14:textId="77777777" w:rsidR="009475D7" w:rsidRDefault="009475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  <w:p w14:paraId="5A991BD8" w14:textId="77777777" w:rsidR="009475D7" w:rsidRDefault="009475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9" w:type="dxa"/>
        </w:tcPr>
        <w:p w14:paraId="3ECE214F" w14:textId="77777777" w:rsidR="009475D7" w:rsidRDefault="009475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9" w:type="dxa"/>
        </w:tcPr>
        <w:p w14:paraId="04E0A680" w14:textId="77777777" w:rsidR="009475D7" w:rsidRDefault="009475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876CE81" w14:textId="77777777" w:rsidR="009475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77E27F7" wp14:editId="1DD020A0">
          <wp:extent cx="5731510" cy="62060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6206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52A79" w14:textId="77777777" w:rsidR="00E32973" w:rsidRDefault="00E329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66959"/>
    <w:multiLevelType w:val="hybridMultilevel"/>
    <w:tmpl w:val="DD6C19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42481"/>
    <w:multiLevelType w:val="hybridMultilevel"/>
    <w:tmpl w:val="EB2CA90A"/>
    <w:lvl w:ilvl="0" w:tplc="4D88B56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417A37"/>
    <w:multiLevelType w:val="multilevel"/>
    <w:tmpl w:val="385C8CC4"/>
    <w:lvl w:ilvl="0">
      <w:start w:val="1"/>
      <w:numFmt w:val="decimal"/>
      <w:lvlText w:val="%1."/>
      <w:lvlJc w:val="left"/>
      <w:pPr>
        <w:ind w:left="644" w:hanging="359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E14529E"/>
    <w:multiLevelType w:val="hybridMultilevel"/>
    <w:tmpl w:val="4F5E3B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A775B"/>
    <w:multiLevelType w:val="hybridMultilevel"/>
    <w:tmpl w:val="EE5A82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969CB"/>
    <w:multiLevelType w:val="hybridMultilevel"/>
    <w:tmpl w:val="CC06A4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82632219">
    <w:abstractNumId w:val="2"/>
  </w:num>
  <w:num w:numId="2" w16cid:durableId="487677358">
    <w:abstractNumId w:val="3"/>
  </w:num>
  <w:num w:numId="3" w16cid:durableId="1724786642">
    <w:abstractNumId w:val="5"/>
  </w:num>
  <w:num w:numId="4" w16cid:durableId="1769277292">
    <w:abstractNumId w:val="4"/>
  </w:num>
  <w:num w:numId="5" w16cid:durableId="1252349126">
    <w:abstractNumId w:val="0"/>
  </w:num>
  <w:num w:numId="6" w16cid:durableId="1941599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5D7"/>
    <w:rsid w:val="00077C0E"/>
    <w:rsid w:val="0016232A"/>
    <w:rsid w:val="00257885"/>
    <w:rsid w:val="002E6E4F"/>
    <w:rsid w:val="003C7F9E"/>
    <w:rsid w:val="003D1FE3"/>
    <w:rsid w:val="004214E5"/>
    <w:rsid w:val="00433DBC"/>
    <w:rsid w:val="00461B45"/>
    <w:rsid w:val="004A18E6"/>
    <w:rsid w:val="00502110"/>
    <w:rsid w:val="00572B57"/>
    <w:rsid w:val="005768F7"/>
    <w:rsid w:val="0058655F"/>
    <w:rsid w:val="005D6FB5"/>
    <w:rsid w:val="005E357F"/>
    <w:rsid w:val="006064F8"/>
    <w:rsid w:val="00643AD6"/>
    <w:rsid w:val="006C778E"/>
    <w:rsid w:val="006F2780"/>
    <w:rsid w:val="007063CC"/>
    <w:rsid w:val="007201E6"/>
    <w:rsid w:val="007C5185"/>
    <w:rsid w:val="007D5897"/>
    <w:rsid w:val="007E3318"/>
    <w:rsid w:val="007F1533"/>
    <w:rsid w:val="008137F6"/>
    <w:rsid w:val="00851A58"/>
    <w:rsid w:val="008A1EE6"/>
    <w:rsid w:val="008D1BD9"/>
    <w:rsid w:val="009475D7"/>
    <w:rsid w:val="009805ED"/>
    <w:rsid w:val="009A358A"/>
    <w:rsid w:val="009D6800"/>
    <w:rsid w:val="009F18FA"/>
    <w:rsid w:val="00A07C67"/>
    <w:rsid w:val="00B21597"/>
    <w:rsid w:val="00B70189"/>
    <w:rsid w:val="00B7205E"/>
    <w:rsid w:val="00BA43EA"/>
    <w:rsid w:val="00BB004C"/>
    <w:rsid w:val="00C246AF"/>
    <w:rsid w:val="00C27D4B"/>
    <w:rsid w:val="00C86700"/>
    <w:rsid w:val="00CA68E3"/>
    <w:rsid w:val="00CB2D67"/>
    <w:rsid w:val="00D069D5"/>
    <w:rsid w:val="00D374E5"/>
    <w:rsid w:val="00D80683"/>
    <w:rsid w:val="00DF3E28"/>
    <w:rsid w:val="00E100E4"/>
    <w:rsid w:val="00E32973"/>
    <w:rsid w:val="00E84D51"/>
    <w:rsid w:val="00EC42F3"/>
    <w:rsid w:val="00F2788E"/>
    <w:rsid w:val="00F3366E"/>
    <w:rsid w:val="00FB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89342"/>
  <w15:docId w15:val="{EC8132AE-440C-459D-A50D-55FAAC5A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28"/>
      <w:szCs w:val="72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Nagwek">
    <w:name w:val="header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Stopka">
    <w:name w:val="footer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Poprawka">
    <w:name w:val="Revision"/>
    <w:hidden/>
    <w:uiPriority w:val="99"/>
    <w:semiHidden/>
    <w:rsid w:val="001E1215"/>
    <w:pPr>
      <w:spacing w:after="0" w:line="240" w:lineRule="auto"/>
    </w:pPr>
  </w:style>
  <w:style w:type="paragraph" w:styleId="Akapitzlist">
    <w:name w:val="List Paragraph"/>
    <w:aliases w:val="BulletC,maz_wyliczenie,opis dzialania,K-P_odwolanie,A_wyliczenie,Akapit z listą5CxSpLast,Akapit z listą5,Tekst punktowanie,Numerowanie,Akapit z listą 1,List Paragraph,Table of contents numbered,sw tekst,EPL lista punktowana z wyrózneniem"/>
    <w:link w:val="AkapitzlistZnak"/>
    <w:uiPriority w:val="34"/>
    <w:qFormat/>
    <w:rsid w:val="006060C4"/>
    <w:pPr>
      <w:ind w:left="720"/>
      <w:contextualSpacing/>
    </w:pPr>
    <w:rPr>
      <w:rFonts w:ascii="Times New Roman" w:eastAsia="Times New Roman" w:hAnsi="Times New Roman"/>
      <w:sz w:val="24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link w:val="TekstprzypisudolnegoZnak"/>
    <w:uiPriority w:val="99"/>
    <w:rsid w:val="00606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6060C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BulletC Znak,maz_wyliczenie Znak,opis dzialania Znak,K-P_odwolanie Znak,A_wyliczenie Znak,Akapit z listą5CxSpLast Znak,Akapit z listą5 Znak,Tekst punktowanie Znak,Numerowanie Znak,Akapit z listą 1 Znak,List Paragraph Znak"/>
    <w:link w:val="Akapitzlist"/>
    <w:uiPriority w:val="34"/>
    <w:qFormat/>
    <w:rsid w:val="006060C4"/>
  </w:style>
  <w:style w:type="paragraph" w:styleId="Tekstblokowy">
    <w:name w:val="Block Text"/>
    <w:rsid w:val="006060C4"/>
    <w:pPr>
      <w:shd w:val="clear" w:color="FFFF00" w:fill="FFFFFF"/>
      <w:spacing w:after="0" w:line="240" w:lineRule="auto"/>
      <w:ind w:left="142" w:right="139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6060C4"/>
    <w:rPr>
      <w:vertAlign w:val="superscript"/>
    </w:rPr>
  </w:style>
  <w:style w:type="character" w:customStyle="1" w:styleId="DeltaViewInsertion">
    <w:name w:val="DeltaView Insertion"/>
    <w:rsid w:val="006060C4"/>
    <w:rPr>
      <w:b/>
      <w:i/>
      <w:spacing w:val="0"/>
    </w:rPr>
  </w:style>
  <w:style w:type="character" w:styleId="Hipercze">
    <w:name w:val="Hyperlink"/>
    <w:basedOn w:val="Domylnaczcionkaakapitu"/>
    <w:uiPriority w:val="99"/>
    <w:unhideWhenUsed/>
    <w:rsid w:val="002F09D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09D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uiPriority w:val="9"/>
    <w:rsid w:val="002F09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77C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7C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7C0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7C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7C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a6NngDZnj6NdvPDQF8K1rX7Kog==">CgMxLjA4AHIhMWRveWVOU3A5OVVpbURXZ3R6dDJfdndfb1lZdkYtRXRu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1403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Sześciórka Milena</dc:creator>
  <cp:lastModifiedBy>Jan Gapski</cp:lastModifiedBy>
  <cp:revision>13</cp:revision>
  <cp:lastPrinted>2026-06-04T14:40:00Z</cp:lastPrinted>
  <dcterms:created xsi:type="dcterms:W3CDTF">2026-06-04T12:37:00Z</dcterms:created>
  <dcterms:modified xsi:type="dcterms:W3CDTF">2026-06-08T12:34:00Z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0x01010050D9CEDFC1EE654EB1D31AF6B3C395EF</vt:lpwstr>
  </property>
</Properties>
</file>